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76A138D7" w:rsidR="0054610F" w:rsidRDefault="0054610F" w:rsidP="0054610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</w:t>
      </w:r>
      <w:r w:rsidR="00794473" w:rsidRPr="00794473">
        <w:rPr>
          <w:b/>
          <w:caps/>
          <w:szCs w:val="28"/>
        </w:rPr>
        <w:t>ВОПРОСЫ ФОРМИРОВАНИЯ КОМПЕТЕНЦИЙ ПРЕПОДАВАТЕЛЕЙ СОЛЬНОГО ПЕНИЯ</w:t>
      </w:r>
      <w:r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4AD1A5E6" w14:textId="63BCB5FC" w:rsidR="002E0545" w:rsidRPr="002E0545" w:rsidRDefault="0054610F" w:rsidP="00E803D6">
      <w:pPr>
        <w:spacing w:line="259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2E0545" w:rsidRPr="002E0545">
        <w:rPr>
          <w:bCs/>
          <w:szCs w:val="28"/>
        </w:rPr>
        <w:t>преподаватели образовательных учреждений сферы культуры</w:t>
      </w:r>
      <w:r w:rsidR="00693C3B">
        <w:rPr>
          <w:bCs/>
          <w:szCs w:val="28"/>
        </w:rPr>
        <w:t>.</w:t>
      </w:r>
      <w:bookmarkStart w:id="1" w:name="_GoBack"/>
      <w:bookmarkEnd w:id="1"/>
    </w:p>
    <w:p w14:paraId="1F49FF5C" w14:textId="67D63C9D" w:rsidR="0054610F" w:rsidRDefault="0054610F" w:rsidP="00E803D6">
      <w:pPr>
        <w:spacing w:line="259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4E6AAA5C" w:rsidR="0054610F" w:rsidRDefault="0054610F" w:rsidP="00E803D6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</w:t>
      </w:r>
      <w:r w:rsidR="00794473">
        <w:rPr>
          <w:szCs w:val="28"/>
        </w:rPr>
        <w:t>24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E803D6">
      <w:pPr>
        <w:widowControl w:val="0"/>
        <w:autoSpaceDE w:val="0"/>
        <w:autoSpaceDN w:val="0"/>
        <w:adjustRightInd w:val="0"/>
        <w:spacing w:line="259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E803D6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W w:w="10350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20"/>
        <w:gridCol w:w="851"/>
        <w:gridCol w:w="1559"/>
        <w:gridCol w:w="1701"/>
        <w:gridCol w:w="1417"/>
        <w:gridCol w:w="1134"/>
      </w:tblGrid>
      <w:tr w:rsidR="00794473" w14:paraId="690E7A36" w14:textId="77777777" w:rsidTr="00794473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376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88C" w14:textId="77777777" w:rsidR="00794473" w:rsidRDefault="00794473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50C9C53D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A1F4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03F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794473" w14:paraId="5D818E04" w14:textId="77777777" w:rsidTr="00794473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9E6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E60E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7755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E653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CE1B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Самостоятельная работа</w:t>
            </w:r>
          </w:p>
        </w:tc>
      </w:tr>
      <w:tr w:rsidR="00794473" w14:paraId="1B4E0451" w14:textId="77777777" w:rsidTr="00794473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0FBC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8CB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CA5C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394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4B89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Практические занятия (ПЗ)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8749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BE0E" w14:textId="77777777" w:rsidR="00794473" w:rsidRDefault="0079447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794473" w14:paraId="18A9BABF" w14:textId="77777777" w:rsidTr="007944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A1D" w14:textId="77777777" w:rsidR="00794473" w:rsidRDefault="00794473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D757" w14:textId="77777777" w:rsidR="00794473" w:rsidRDefault="00794473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ПМ.1. Педагогическая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F0E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C347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2E32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EDD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6829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794473" w14:paraId="103CBD71" w14:textId="77777777" w:rsidTr="007944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00A9" w14:textId="77777777" w:rsidR="00794473" w:rsidRDefault="00794473">
            <w:pPr>
              <w:widowControl w:val="0"/>
              <w:tabs>
                <w:tab w:val="left" w:pos="57"/>
                <w:tab w:val="left" w:pos="709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33FB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ПМ.2. Педагогическая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DCD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972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300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2EE6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E36D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794473" w14:paraId="7EE2AC5D" w14:textId="77777777" w:rsidTr="007944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60A9" w14:textId="77777777" w:rsidR="00794473" w:rsidRDefault="00794473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3.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E73E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Итоговая аттестация – контрольный опрос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A09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67E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66EA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25D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7E1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  <w:tr w:rsidR="00794473" w14:paraId="59823EEC" w14:textId="77777777" w:rsidTr="007944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997" w14:textId="77777777" w:rsidR="00794473" w:rsidRDefault="00794473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9ECC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C2E4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62F1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7A5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3496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61EB" w14:textId="77777777" w:rsidR="00794473" w:rsidRDefault="00794473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54610F"/>
    <w:rsid w:val="00693C3B"/>
    <w:rsid w:val="00787CF7"/>
    <w:rsid w:val="00794473"/>
    <w:rsid w:val="008B7505"/>
    <w:rsid w:val="00D866B7"/>
    <w:rsid w:val="00E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>LightKey.Store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6</cp:revision>
  <dcterms:created xsi:type="dcterms:W3CDTF">2026-06-01T11:07:00Z</dcterms:created>
  <dcterms:modified xsi:type="dcterms:W3CDTF">2026-06-05T05:52:00Z</dcterms:modified>
</cp:coreProperties>
</file>